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164" w:rsidRPr="006D1164" w:rsidRDefault="006D1164" w:rsidP="006D1164">
      <w:pPr>
        <w:spacing w:after="20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1164" w:rsidRPr="006D1164" w:rsidRDefault="006D1164" w:rsidP="006D1164">
      <w:pPr>
        <w:pBdr>
          <w:top w:val="single" w:sz="4" w:space="1" w:color="auto"/>
          <w:bottom w:val="single" w:sz="4" w:space="1" w:color="auto"/>
        </w:pBdr>
        <w:shd w:val="clear" w:color="auto" w:fill="FFC000"/>
        <w:spacing w:before="120" w:after="120" w:line="240" w:lineRule="atLeast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bookmarkStart w:id="0" w:name="_Toc517946437"/>
      <w:r w:rsidRPr="006D1164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ГЛАВА ЧЕТИРИ</w:t>
      </w:r>
      <w:bookmarkEnd w:id="0"/>
    </w:p>
    <w:p w:rsidR="006D1164" w:rsidRPr="006D1164" w:rsidRDefault="006D1164" w:rsidP="006D1164">
      <w:pPr>
        <w:pBdr>
          <w:top w:val="single" w:sz="4" w:space="1" w:color="auto"/>
          <w:bottom w:val="single" w:sz="4" w:space="1" w:color="auto"/>
        </w:pBdr>
        <w:shd w:val="clear" w:color="auto" w:fill="FFC000"/>
        <w:spacing w:before="120" w:after="120" w:line="240" w:lineRule="atLeast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bookmarkStart w:id="1" w:name="_Toc517946438"/>
      <w:r w:rsidRPr="006D1164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КРИТЕРИЙ ЗА ВЪЗЛАГАНЕ НА ПОРЪЧКАТА</w:t>
      </w:r>
      <w:bookmarkEnd w:id="1"/>
    </w:p>
    <w:p w:rsidR="006D1164" w:rsidRPr="006D1164" w:rsidRDefault="006D1164" w:rsidP="006D1164">
      <w:pPr>
        <w:spacing w:after="20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1164" w:rsidRPr="006D1164" w:rsidRDefault="006D1164" w:rsidP="006D1164">
      <w:pPr>
        <w:pBdr>
          <w:top w:val="single" w:sz="4" w:space="1" w:color="auto"/>
          <w:bottom w:val="single" w:sz="4" w:space="1" w:color="auto"/>
        </w:pBdr>
        <w:shd w:val="clear" w:color="auto" w:fill="C6D9F1"/>
        <w:spacing w:before="120" w:after="120" w:line="240" w:lineRule="auto"/>
        <w:ind w:firstLine="284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bookmarkStart w:id="2" w:name="_Toc517946439"/>
      <w:r w:rsidRPr="006D1164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Раздел I</w:t>
      </w:r>
      <w:bookmarkEnd w:id="2"/>
    </w:p>
    <w:p w:rsidR="006D1164" w:rsidRPr="006D1164" w:rsidRDefault="006D1164" w:rsidP="006D1164">
      <w:pPr>
        <w:pBdr>
          <w:top w:val="single" w:sz="4" w:space="1" w:color="auto"/>
          <w:bottom w:val="single" w:sz="4" w:space="1" w:color="auto"/>
        </w:pBdr>
        <w:shd w:val="clear" w:color="auto" w:fill="C6D9F1"/>
        <w:spacing w:before="120" w:after="120" w:line="240" w:lineRule="auto"/>
        <w:ind w:firstLine="284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bookmarkStart w:id="3" w:name="_Toc517946440"/>
      <w:r w:rsidRPr="006D1164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ОПТИМАЛНО СЪОТНОШЕНИЕ КАЧЕСТВО/ЦЕНА</w:t>
      </w:r>
      <w:bookmarkEnd w:id="3"/>
    </w:p>
    <w:p w:rsidR="006D1164" w:rsidRPr="006D1164" w:rsidRDefault="006D1164" w:rsidP="006D1164">
      <w:pPr>
        <w:spacing w:before="120" w:after="12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Настоящата обществена поръчка се възлага въз основа на икономически най-изгодната оферта, определена във основа на критерия за оптимално съотношение качество/цена по смисъла на чл. 70, ал. 2, т. 3 от ЗОП.</w:t>
      </w:r>
    </w:p>
    <w:p w:rsidR="006D1164" w:rsidRPr="006D1164" w:rsidRDefault="006D1164" w:rsidP="006D1164">
      <w:pPr>
        <w:spacing w:before="120" w:after="12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 xml:space="preserve">Изборът на критерий за оценка на офертите е съобразен с комплексния характер на предмета на настоящата обществена поръчка. При формулирането на критерия и показателите за оценка, Възложителят е изхождал от разбирането, че при обществени поръчки за строителство, организацията и професионалната компетентност на ръководния и експертен екип, предложен от участника, е неразривно свързан с предмета на поръчката, и по-специално с качеството на строителството. В такива случаи е </w:t>
      </w:r>
      <w:r w:rsidRPr="006D11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>налице изключително тясна зависимост между организацията, професионалната квалификация, компетентността, опитът и ефективността като цяло на работния екип и икономическата стойност на офертите</w:t>
      </w:r>
      <w:r w:rsidRPr="006D1164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bg-BG" w:eastAsia="bg-BG"/>
        </w:rPr>
        <w:footnoteReference w:id="1"/>
      </w:r>
      <w:r w:rsidRPr="006D116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. При това положение, при оценяването на офертите и определянето на офертата с най-добро съотношение между качество и цена е удачно да се вземат предвид организацията и квалификацията на ръководния екип и трудовия ресурс.</w:t>
      </w:r>
      <w:r w:rsidRPr="006D1164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bg-BG" w:eastAsia="bg-BG"/>
        </w:rPr>
        <w:footnoteReference w:id="2"/>
      </w:r>
    </w:p>
    <w:p w:rsidR="006D1164" w:rsidRPr="006D1164" w:rsidRDefault="006D1164" w:rsidP="006D1164">
      <w:pPr>
        <w:spacing w:after="20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1164" w:rsidRPr="006D1164" w:rsidRDefault="006D1164" w:rsidP="006D1164">
      <w:pPr>
        <w:pBdr>
          <w:top w:val="single" w:sz="4" w:space="1" w:color="auto"/>
          <w:bottom w:val="single" w:sz="4" w:space="1" w:color="auto"/>
        </w:pBdr>
        <w:shd w:val="clear" w:color="auto" w:fill="C6D9F1"/>
        <w:spacing w:before="120" w:after="120" w:line="240" w:lineRule="auto"/>
        <w:ind w:firstLine="284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bookmarkStart w:id="4" w:name="_Toc517946441"/>
      <w:r w:rsidRPr="006D1164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lastRenderedPageBreak/>
        <w:t>Раздел II</w:t>
      </w:r>
      <w:bookmarkEnd w:id="4"/>
    </w:p>
    <w:p w:rsidR="006D1164" w:rsidRPr="006D1164" w:rsidRDefault="006D1164" w:rsidP="006D1164">
      <w:pPr>
        <w:pBdr>
          <w:top w:val="single" w:sz="4" w:space="1" w:color="auto"/>
          <w:bottom w:val="single" w:sz="4" w:space="1" w:color="auto"/>
        </w:pBdr>
        <w:shd w:val="clear" w:color="auto" w:fill="C6D9F1"/>
        <w:spacing w:before="120" w:after="120" w:line="240" w:lineRule="auto"/>
        <w:ind w:firstLine="284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bookmarkStart w:id="5" w:name="_Toc517946442"/>
      <w:r w:rsidRPr="006D1164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МЕТОДИКА ЗА КОМПЛЕКСНА ОЦЕНКА НА ОФЕРТИТЕ</w:t>
      </w:r>
      <w:bookmarkEnd w:id="5"/>
    </w:p>
    <w:p w:rsidR="006D1164" w:rsidRPr="006D1164" w:rsidRDefault="006D1164" w:rsidP="006D1164">
      <w:pPr>
        <w:spacing w:before="120" w:after="12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Настоящата методика съдържа точни указания за извършване на оценка по всеки показател и за определяне на комплексната оценка на офертата, включително за относителната тежест, която Възложителят дава на всеки от показателите за определяне на икономически най-изгодната оферта. </w:t>
      </w:r>
    </w:p>
    <w:p w:rsidR="006D1164" w:rsidRPr="006D1164" w:rsidRDefault="006D1164" w:rsidP="006D1164">
      <w:pPr>
        <w:spacing w:before="120" w:after="12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Възложителят прилага методиката по отношение на всички допуснати до оценка оферти, без да я променя.</w:t>
      </w:r>
    </w:p>
    <w:p w:rsidR="006D1164" w:rsidRPr="006D1164" w:rsidRDefault="006D1164" w:rsidP="006D1164">
      <w:pPr>
        <w:spacing w:before="120" w:after="12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Настоящата обществена поръчка се възлага въз основа на икономически най-изгодната оферта, определена във основа на критерия за оптимално съотношение качество/цена, определен съобразно следните показатели:</w:t>
      </w:r>
    </w:p>
    <w:p w:rsidR="006D1164" w:rsidRPr="006D1164" w:rsidRDefault="006D1164" w:rsidP="006D1164">
      <w:pPr>
        <w:spacing w:after="200" w:line="276" w:lineRule="auto"/>
        <w:ind w:firstLine="284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tbl>
      <w:tblPr>
        <w:tblW w:w="0" w:type="auto"/>
        <w:tblInd w:w="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6"/>
        <w:gridCol w:w="2257"/>
        <w:gridCol w:w="1971"/>
      </w:tblGrid>
      <w:tr w:rsidR="006D1164" w:rsidRPr="006D1164" w:rsidTr="006D1164">
        <w:trPr>
          <w:trHeight w:val="185"/>
        </w:trPr>
        <w:tc>
          <w:tcPr>
            <w:tcW w:w="4640" w:type="dxa"/>
            <w:tcBorders>
              <w:bottom w:val="single" w:sz="4" w:space="0" w:color="auto"/>
            </w:tcBorders>
            <w:shd w:val="clear" w:color="auto" w:fill="B8CCE4"/>
            <w:vAlign w:val="center"/>
          </w:tcPr>
          <w:p w:rsidR="006D1164" w:rsidRPr="006D1164" w:rsidRDefault="006D1164" w:rsidP="006D1164">
            <w:pPr>
              <w:spacing w:before="60" w:after="60"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Показател</w:t>
            </w:r>
          </w:p>
        </w:tc>
        <w:tc>
          <w:tcPr>
            <w:tcW w:w="2306" w:type="dxa"/>
            <w:tcBorders>
              <w:bottom w:val="single" w:sz="4" w:space="0" w:color="auto"/>
            </w:tcBorders>
            <w:shd w:val="clear" w:color="auto" w:fill="B8CCE4"/>
            <w:vAlign w:val="center"/>
          </w:tcPr>
          <w:p w:rsidR="006D1164" w:rsidRPr="006D1164" w:rsidRDefault="006D1164" w:rsidP="006D1164">
            <w:pPr>
              <w:spacing w:before="60" w:after="60"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Максимален брой точки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B8CCE4"/>
            <w:vAlign w:val="center"/>
          </w:tcPr>
          <w:p w:rsidR="006D1164" w:rsidRPr="006D1164" w:rsidRDefault="006D1164" w:rsidP="006D1164">
            <w:pPr>
              <w:spacing w:before="60" w:after="60"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Относителна тежест</w:t>
            </w:r>
          </w:p>
        </w:tc>
      </w:tr>
      <w:tr w:rsidR="006D1164" w:rsidRPr="006D1164" w:rsidTr="006D1164">
        <w:trPr>
          <w:trHeight w:val="185"/>
        </w:trPr>
        <w:tc>
          <w:tcPr>
            <w:tcW w:w="4640" w:type="dxa"/>
            <w:shd w:val="clear" w:color="auto" w:fill="A6A6A6"/>
          </w:tcPr>
          <w:p w:rsidR="006D1164" w:rsidRPr="006D1164" w:rsidRDefault="006D1164" w:rsidP="006D1164">
            <w:pPr>
              <w:spacing w:before="60" w:after="6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Техническа оценка на офертата (ТО)</w:t>
            </w:r>
          </w:p>
        </w:tc>
        <w:tc>
          <w:tcPr>
            <w:tcW w:w="2306" w:type="dxa"/>
            <w:shd w:val="clear" w:color="auto" w:fill="A6A6A6"/>
          </w:tcPr>
          <w:p w:rsidR="006D1164" w:rsidRPr="006D1164" w:rsidRDefault="006D1164" w:rsidP="006D1164">
            <w:pPr>
              <w:spacing w:before="60" w:after="60"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50</w:t>
            </w:r>
          </w:p>
        </w:tc>
        <w:tc>
          <w:tcPr>
            <w:tcW w:w="1985" w:type="dxa"/>
            <w:shd w:val="clear" w:color="auto" w:fill="A6A6A6"/>
          </w:tcPr>
          <w:p w:rsidR="006D1164" w:rsidRPr="006D1164" w:rsidRDefault="006D1164" w:rsidP="006D1164">
            <w:pPr>
              <w:spacing w:before="60" w:after="60"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50%</w:t>
            </w:r>
          </w:p>
        </w:tc>
      </w:tr>
      <w:tr w:rsidR="006D1164" w:rsidRPr="006D1164" w:rsidTr="006D1164">
        <w:trPr>
          <w:trHeight w:val="185"/>
        </w:trPr>
        <w:tc>
          <w:tcPr>
            <w:tcW w:w="4640" w:type="dxa"/>
            <w:shd w:val="clear" w:color="auto" w:fill="A6A6A6"/>
          </w:tcPr>
          <w:p w:rsidR="006D1164" w:rsidRPr="006D1164" w:rsidRDefault="006D1164" w:rsidP="006D1164">
            <w:pPr>
              <w:spacing w:before="60" w:after="60"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Финансова оценка на офертата (ФО)</w:t>
            </w:r>
          </w:p>
        </w:tc>
        <w:tc>
          <w:tcPr>
            <w:tcW w:w="2306" w:type="dxa"/>
            <w:shd w:val="clear" w:color="auto" w:fill="A6A6A6"/>
          </w:tcPr>
          <w:p w:rsidR="006D1164" w:rsidRPr="006D1164" w:rsidRDefault="006D1164" w:rsidP="006D1164">
            <w:pPr>
              <w:spacing w:before="60" w:after="60"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50</w:t>
            </w:r>
          </w:p>
        </w:tc>
        <w:tc>
          <w:tcPr>
            <w:tcW w:w="1985" w:type="dxa"/>
            <w:shd w:val="clear" w:color="auto" w:fill="A6A6A6"/>
          </w:tcPr>
          <w:p w:rsidR="006D1164" w:rsidRPr="006D1164" w:rsidRDefault="006D1164" w:rsidP="006D1164">
            <w:pPr>
              <w:spacing w:before="60" w:after="60"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50%</w:t>
            </w:r>
          </w:p>
        </w:tc>
      </w:tr>
    </w:tbl>
    <w:p w:rsidR="006D1164" w:rsidRPr="006D1164" w:rsidRDefault="006D1164" w:rsidP="006D1164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D1164">
        <w:rPr>
          <w:rFonts w:ascii="Times New Roman" w:eastAsia="Times New Roman" w:hAnsi="Times New Roman" w:cs="Times New Roman"/>
          <w:i/>
          <w:sz w:val="24"/>
          <w:szCs w:val="24"/>
          <w:lang w:val="bg-BG" w:eastAsia="bg-BG"/>
        </w:rPr>
        <w:t>Таблица 1</w:t>
      </w:r>
    </w:p>
    <w:p w:rsidR="006D1164" w:rsidRPr="006D1164" w:rsidRDefault="006D1164" w:rsidP="006D1164">
      <w:pPr>
        <w:spacing w:before="120" w:after="12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II.I.</w:t>
      </w:r>
      <w:r w:rsidRPr="006D116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>ТЕХНИЧЕСКА ОЦЕНКА НА ОФЕРТАТА /ТО/</w:t>
      </w:r>
    </w:p>
    <w:p w:rsidR="006D1164" w:rsidRPr="006D1164" w:rsidRDefault="006D1164" w:rsidP="006D1164">
      <w:pPr>
        <w:spacing w:before="120" w:after="12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В съответствие с чл. 70, ал. 4, т. 2 във връзка с чл. 70 ал. 2, т. 3 от ЗОП, показателят „Техническа оценка на офертата” (ТО) представлява оценка на качеството на офертата въз основа организацията и професионалната компетентност на персонала, на който е възложено изпълнението на поръчката. </w:t>
      </w:r>
    </w:p>
    <w:p w:rsidR="006D1164" w:rsidRPr="006D1164" w:rsidRDefault="006D1164" w:rsidP="006D1164">
      <w:pPr>
        <w:spacing w:before="120" w:after="12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Техническата оценка на всяка отделна оферта се извършва съгласно следната формула:</w:t>
      </w:r>
    </w:p>
    <w:p w:rsidR="006D1164" w:rsidRPr="006D1164" w:rsidRDefault="006D1164" w:rsidP="006D1164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ТО</w:t>
      </w:r>
      <w:r w:rsidRPr="006D1164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bg-BG" w:eastAsia="bg-BG"/>
        </w:rPr>
        <w:t>N</w:t>
      </w:r>
      <w:r w:rsidRPr="006D116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= ТО</w:t>
      </w:r>
      <w:r w:rsidRPr="006D1164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bg-BG" w:eastAsia="bg-BG"/>
        </w:rPr>
        <w:t>1</w:t>
      </w:r>
    </w:p>
    <w:p w:rsidR="006D1164" w:rsidRPr="006D1164" w:rsidRDefault="006D1164" w:rsidP="006D1164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където:</w:t>
      </w:r>
    </w:p>
    <w:p w:rsidR="006D1164" w:rsidRPr="006D1164" w:rsidRDefault="006D1164" w:rsidP="006D1164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ТО</w:t>
      </w:r>
      <w:r w:rsidRPr="006D1164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bg-BG" w:eastAsia="bg-BG"/>
        </w:rPr>
        <w:t>N</w:t>
      </w: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е техническата оценка на офертата на участника N;</w:t>
      </w:r>
    </w:p>
    <w:p w:rsidR="006D1164" w:rsidRPr="006D1164" w:rsidRDefault="006D1164" w:rsidP="006D1164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ТО</w:t>
      </w:r>
      <w:r w:rsidRPr="006D1164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bg-BG" w:eastAsia="bg-BG"/>
        </w:rPr>
        <w:t>1</w:t>
      </w: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е оценката по под-показател „Организация и професионална компетентност на ръководния състав и на персонала, на който е възложено изпълнението на поръчката”, детайлно описан по-долу.</w:t>
      </w:r>
    </w:p>
    <w:p w:rsidR="006D1164" w:rsidRPr="006D1164" w:rsidRDefault="006D1164" w:rsidP="006D1164">
      <w:pPr>
        <w:spacing w:before="120" w:after="12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Чрез под-показателят </w:t>
      </w:r>
      <w:r w:rsidRPr="006D116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ТО</w:t>
      </w:r>
      <w:r w:rsidRPr="006D1164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bg-BG" w:eastAsia="bg-BG"/>
        </w:rPr>
        <w:t>1</w:t>
      </w: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„Организация и професионална компетентност на ръководния състав и на персонала, на който е възложено изпълнението на поръчката”се оценява предложената система за организацията и ефективното управление на човешките ресурси, ангажирани в изпълнението на работите, предмет на обществената поръчка. Оценката обхваща: организацията на ключовия екип; разпределението на функциите, ролите и отговорностите на членовете на екипа и на различните икономически оператори (в случай на обединения и/или използване на подизпълнители или трети лица); предложените </w:t>
      </w: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>комуникационни и отчетни процедури; предложените мерки и процедури за контрол върху качеството на изпълнение на дейностите.</w:t>
      </w:r>
    </w:p>
    <w:p w:rsidR="006D1164" w:rsidRPr="006D1164" w:rsidRDefault="006D1164" w:rsidP="006D1164">
      <w:pPr>
        <w:spacing w:before="120" w:after="12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Максималната стойност на </w:t>
      </w:r>
      <w:r w:rsidRPr="006D116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ТО</w:t>
      </w:r>
      <w:r w:rsidRPr="006D1164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bg-BG" w:eastAsia="bg-BG"/>
        </w:rPr>
        <w:t>1</w:t>
      </w: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е 50 точки. Конкретният брой точки по под-показател ТО</w:t>
      </w:r>
      <w:r w:rsidRPr="006D1164">
        <w:rPr>
          <w:rFonts w:ascii="Times New Roman" w:eastAsia="Times New Roman" w:hAnsi="Times New Roman" w:cs="Times New Roman"/>
          <w:sz w:val="24"/>
          <w:szCs w:val="24"/>
          <w:vertAlign w:val="subscript"/>
          <w:lang w:val="bg-BG" w:eastAsia="bg-BG"/>
        </w:rPr>
        <w:t>1</w:t>
      </w: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се определя за всяка оферта на базата на експертна оценка, извършвана от комисията по следната методика:</w:t>
      </w:r>
    </w:p>
    <w:tbl>
      <w:tblPr>
        <w:tblW w:w="944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3"/>
        <w:gridCol w:w="1436"/>
      </w:tblGrid>
      <w:tr w:rsidR="006D1164" w:rsidRPr="006D1164" w:rsidTr="006D1164">
        <w:trPr>
          <w:trHeight w:val="185"/>
        </w:trPr>
        <w:tc>
          <w:tcPr>
            <w:tcW w:w="8013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6D1164" w:rsidRPr="006D1164" w:rsidRDefault="006D1164" w:rsidP="006D1164">
            <w:pPr>
              <w:spacing w:before="120" w:after="12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Подпоказател ТО</w:t>
            </w:r>
            <w:r w:rsidRPr="006D116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bg-BG" w:eastAsia="bg-BG"/>
              </w:rPr>
              <w:t xml:space="preserve">1 </w:t>
            </w:r>
          </w:p>
          <w:p w:rsidR="006D1164" w:rsidRPr="006D1164" w:rsidRDefault="006D1164" w:rsidP="006D1164">
            <w:pPr>
              <w:spacing w:before="120" w:after="12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„Организация на персонала, на който е възложено изпълнението на поръчката”</w:t>
            </w:r>
          </w:p>
          <w:p w:rsidR="006D1164" w:rsidRPr="006D1164" w:rsidRDefault="006D1164" w:rsidP="006D1164">
            <w:pPr>
              <w:spacing w:before="120" w:after="12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6D1164" w:rsidRPr="006D1164" w:rsidRDefault="006D1164" w:rsidP="006D1164">
            <w:pPr>
              <w:spacing w:before="120" w:after="12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Максимален брой точки</w:t>
            </w:r>
          </w:p>
          <w:p w:rsidR="006D1164" w:rsidRPr="006D1164" w:rsidRDefault="006D1164" w:rsidP="006D1164">
            <w:pPr>
              <w:spacing w:before="120" w:after="12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50</w:t>
            </w:r>
          </w:p>
        </w:tc>
      </w:tr>
      <w:tr w:rsidR="006D1164" w:rsidRPr="006D1164" w:rsidTr="0071741E">
        <w:trPr>
          <w:trHeight w:val="185"/>
        </w:trPr>
        <w:tc>
          <w:tcPr>
            <w:tcW w:w="8013" w:type="dxa"/>
            <w:shd w:val="clear" w:color="auto" w:fill="auto"/>
          </w:tcPr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Предложената от участника организация на персонала осигурява изпълнението на минималните изисквания на Възложителя, а именно: 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- участникът е предложил организация на ключовите експерти /ръководен състав/ и трудовия ресурс /работници/, посочил е как се разпределят отговорностите и дейностите между тях, координация, съгласуване на дейностите и организационни мерки, които са необходими за качественото и срочно изпълнение на проектирането, строителството и авторския надзор. </w:t>
            </w:r>
          </w:p>
          <w:p w:rsidR="006D1164" w:rsidRPr="006D1164" w:rsidRDefault="006D1164" w:rsidP="006D1164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- участникът е предложил начини за осъществяване на комуникация с Възложителя, които начини осигуряват ефективност и надеждност на комуникацията.</w:t>
            </w:r>
          </w:p>
          <w:p w:rsidR="006D1164" w:rsidRPr="006D1164" w:rsidRDefault="006D1164" w:rsidP="006D1164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Под термина „ефективност“ се разбира комуникация, която осигурява законосъобразно разрешаване на възникнали проблеми при изпълнение на проектирането, строителството и авторския надзор и законосъобразното уреждане на възникнали спорове между Възложителя и Изпълнителя.</w:t>
            </w:r>
          </w:p>
          <w:p w:rsidR="006D1164" w:rsidRPr="006D1164" w:rsidRDefault="006D1164" w:rsidP="006D1164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Под термина „надеждност“ се разбира комуникация, която осигурява доказуемост на отправените изявления от едната до другата страна в процеса на комуникация.</w:t>
            </w:r>
          </w:p>
          <w:p w:rsidR="006D1164" w:rsidRPr="006D1164" w:rsidRDefault="006D1164" w:rsidP="006D1164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</w:p>
          <w:p w:rsidR="006D1164" w:rsidRPr="006D1164" w:rsidRDefault="006D1164" w:rsidP="006D1164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Важно! Ако предложената от участника организация на персонала не осигурява изпълнението на минималните изисквания на Възложителя, участникът ще бъде отстранен от участие в обществената поръчка.</w:t>
            </w:r>
          </w:p>
        </w:tc>
        <w:tc>
          <w:tcPr>
            <w:tcW w:w="1436" w:type="dxa"/>
            <w:shd w:val="clear" w:color="auto" w:fill="auto"/>
          </w:tcPr>
          <w:p w:rsidR="006D1164" w:rsidRPr="006D1164" w:rsidRDefault="006D1164" w:rsidP="006D1164">
            <w:pPr>
              <w:spacing w:before="120" w:after="12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10</w:t>
            </w:r>
          </w:p>
        </w:tc>
      </w:tr>
      <w:tr w:rsidR="006D1164" w:rsidRPr="006D1164" w:rsidTr="0071741E">
        <w:trPr>
          <w:trHeight w:val="185"/>
        </w:trPr>
        <w:tc>
          <w:tcPr>
            <w:tcW w:w="8013" w:type="dxa"/>
            <w:shd w:val="clear" w:color="auto" w:fill="auto"/>
          </w:tcPr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Предложената от участника организация на персонала осигурява изпълнението на минималните изисквания на Възложителя, а именно: 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- участникът е предложил организация на ключовите експерти /ръководен състав/ и трудовия ресурс /работници/, посочил е как се разпределят отговорностите и дейностите между тях, координация, съгласуване на дейностите и организационни мерки, които са необходими за качественото и срочно изпълнение на проектирането, строителството и авторския надзор. </w:t>
            </w:r>
          </w:p>
          <w:p w:rsidR="006D1164" w:rsidRPr="006D1164" w:rsidRDefault="006D1164" w:rsidP="006D1164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>- участникът е предложил начини за осъществяване на комуникация с Възложителя, които начини осигуряват ефективност и надеждност на комуникацията.</w:t>
            </w:r>
          </w:p>
          <w:p w:rsidR="006D1164" w:rsidRPr="006D1164" w:rsidRDefault="006D1164" w:rsidP="006D1164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Под термина „ефективност“ се разбира комуникация, която осигурява законосъобразно разрешаване на възникнали проблеми при изпълнение на проектирането, строителството и авторския надзор и законосъобразното уреждане на възникнали спорове между Възложителя и Изпълнителя.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Под термина „надеждност“ се разбира комуникация, която осигурява доказуемост на отправените изявления от едната до другата страна в процеса на комуникация.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Участникът е предложил концепция за организация на персонала, при която е налично 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bg-BG" w:eastAsia="bg-BG"/>
              </w:rPr>
              <w:t>едно от следните обстоятелства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: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1. За изпълнението на всяка задача при проектирането, строителството и авторския надзор, е показано разпределението по експерти (кой какво ще изпълнява) на ниво отделна задача </w:t>
            </w:r>
            <w:r w:rsidRPr="006D11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 w:eastAsia="bg-BG"/>
              </w:rPr>
              <w:t>(за целите на настоящата методика под „задача“ се разбира обособена част от възложените работи, която може да бъде самостоятелно възлагана на отделен експерт и чието изпълнение може да се проследи еднозначно, т.е. има ясно дефинирани начало и край и измерими резултати)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;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2. За изпълнението на всяка задача при проектирането, строителството и авторския надзор, на ниво отделна задача </w:t>
            </w:r>
            <w:r w:rsidRPr="006D11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 w:eastAsia="bg-BG"/>
              </w:rPr>
              <w:t>(за целите на настоящата методика под „задача“ се разбира обособена част от възложените работи, която може да бъде самостоятелно възлагана на отделен експерт и чието изпълнение може да се проследи еднозначно, т.е. има ясно дефинирани начало и край и измерими резултати), е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дефиниран необходимия човешки ресурс – звена /бригади или еквивалентни/, състав на същите, в това число посочване на отговорен експерт/и, пряк ръководител /бригадир или еквивалентен/ и персонал, за тяхното изпълнение и задълженията на отговорния за изпълнението им експерт/и, задълженията на отговорния пряк ръководител /бригадир или еквивалентни/ и задълженията на отделните проектанти или строителните работници, за съответната задача;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3. Предложена е система за вътрешен контрол на организация на екипа за изпълнение на обществената поръчка, включваща ръководител проектиране и авторски надзор, експерти проектиране и авторски надзор, технически сътрудници проектиране и авторски надзор, началник строителен обект, технически ръководител, експерти, друг персонал с ръководни функции и строителни работници; описан е контрола върху изпълнението на ниво отделна задача</w:t>
            </w:r>
            <w:r w:rsidRPr="006D11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 w:eastAsia="bg-BG"/>
              </w:rPr>
              <w:t>(за целите на настоящата методика под „задача“ се разбира обособена част от възложените работи, която може да бъде самостоятелно възлагана на отделен експерт и чието изпълнение може да се проследи еднозначно, т.е. има ясно дефинирани начало и край и измерими резултати)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, отчитането на резултатите и проследяване на спазване на изискванията за качество.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>4. Описани са действията на ръководния, експертния и трудовия ресурс, които ще бъдат предприети при възникване на ситуации по прекъсване изпълнението на обществената поръчка от страна на Възложителя; посочени са и други организационни мерки на ръководния, експертния и трудовия ресурс, извън посочените в изискванията на Възложителя, които са описани като вид, обхват и съдържание и е доказано, че тяхното включване ще доведе до повишаване качеството на изпълнение на поръчката.</w:t>
            </w:r>
          </w:p>
          <w:p w:rsidR="006D1164" w:rsidRPr="006D1164" w:rsidRDefault="006D1164" w:rsidP="006D1164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„Доказано“ за целите на настоящата методика, означава обяснение по избран от участника начин (напр. текст, диаграма, графика, таблица и др.) за приложимостта и полезността на предложените дейности при изпълнението на поръчката.</w:t>
            </w:r>
          </w:p>
        </w:tc>
        <w:tc>
          <w:tcPr>
            <w:tcW w:w="1436" w:type="dxa"/>
            <w:shd w:val="clear" w:color="auto" w:fill="auto"/>
          </w:tcPr>
          <w:p w:rsidR="006D1164" w:rsidRPr="006D1164" w:rsidRDefault="006D1164" w:rsidP="006D1164">
            <w:pPr>
              <w:spacing w:before="120" w:after="12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>20</w:t>
            </w:r>
          </w:p>
        </w:tc>
      </w:tr>
      <w:tr w:rsidR="006D1164" w:rsidRPr="006D1164" w:rsidTr="0071741E">
        <w:trPr>
          <w:trHeight w:val="185"/>
        </w:trPr>
        <w:tc>
          <w:tcPr>
            <w:tcW w:w="8013" w:type="dxa"/>
            <w:shd w:val="clear" w:color="auto" w:fill="auto"/>
          </w:tcPr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 xml:space="preserve">Предложената от участника организация на персонала осигурява изпълнението на минималните изисквания на Възложителя, а именно: 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- участникът е предложил организация на ключовите експерти /ръководен състав/ и трудовия ресурс /работници/, посочил е как се разпределят отговорностите и дейностите между тях, координация, съгласуване на дейностите и организационни мерки, които са необходими за качественото и срочно изпълнение на проектирането, строителството и авторския надзор. </w:t>
            </w:r>
          </w:p>
          <w:p w:rsidR="006D1164" w:rsidRPr="006D1164" w:rsidRDefault="006D1164" w:rsidP="006D1164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- участникът е предложил начини за осъществяване на комуникация с Възложителя, които начини осигуряват ефективност и надеждност на комуникацията.</w:t>
            </w:r>
          </w:p>
          <w:p w:rsidR="006D1164" w:rsidRPr="006D1164" w:rsidRDefault="006D1164" w:rsidP="006D1164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Под термина „ефективност“ се разбира комуникация, която осигурява законосъобразно разрешаване на възникнали проблеми при изпълнение на проектирането, строителството и авторския надзор и законосъобразното уреждане на възникнали спорове между Възложителя и Изпълнителя.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Под термина „надеждност“ се разбира комуникация, която осигурява доказуемост на отправените изявления от едната до другата страна в процеса на комуникация.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Участникът е предложил концепция за организация на персонала, при която са налични 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bg-BG" w:eastAsia="bg-BG"/>
              </w:rPr>
              <w:t>две от следните обстоятелства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: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1. За изпълнението на всяка задача при проектирането, строителството и авторския надзор, е показано разпределението по експерти (кой какво ще изпълнява) на ниво отделна задача </w:t>
            </w:r>
            <w:r w:rsidRPr="006D11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 w:eastAsia="bg-BG"/>
              </w:rPr>
              <w:t>(за целите на настоящата методика под „задача“ се разбира обособена част от възложените работи, която може да бъде самостоятелно възлагана на отделен експерт и чието изпълнение може да се проследи еднозначно, т.е. има ясно дефинирани начало и край и измерими резултати)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;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2. За изпълнението на всяка задача при проектирането, строителството и авторския надзор, на ниво отделна задача </w:t>
            </w:r>
            <w:r w:rsidRPr="006D11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 w:eastAsia="bg-BG"/>
              </w:rPr>
              <w:t xml:space="preserve">(за целите на настоящата методика под „задача“ се разбира обособена част от възложените работи, която може да бъде самостоятелно възлагана на отделен експерт и чието изпълнение може да се проследи еднозначно, т.е. има ясно дефинирани </w:t>
            </w:r>
            <w:r w:rsidRPr="006D11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 w:eastAsia="bg-BG"/>
              </w:rPr>
              <w:lastRenderedPageBreak/>
              <w:t>начало и край и измерими резултати), е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дефиниран необходимия човешки ресурс – звена /бригади или еквивалентни/, състав на същите, в това число посочване на отговорен експерт/и, пряк ръководител /бригадир или еквивалентен/ и персонал, за тяхното изпълнение и задълженията на отговорния за изпълнението им експерт/и, задълженията на отговорния пряк ръководител /бригадир или еквивалентни/ и задълженията на отделните проектанти или строителните работници, за съответната задача;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3. Предложена е система за вътрешен контрол на организация на екипа за изпълнение на обществената поръчка, включваща ръководител проектиране и авторски надзор, експерти проектиране и авторски надзор, технически сътрудници проектиране и авторски надзор, началник строителен обект, технически ръководител, експерти, друг персонал с ръководни функции и строителни работници; описан е контрола върху изпълнението на ниво отделна задача</w:t>
            </w:r>
            <w:r w:rsidRPr="006D11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 w:eastAsia="bg-BG"/>
              </w:rPr>
              <w:t>(за целите на настоящата методика под „задача“ се разбира обособена част от възложените работи, която може да бъде самостоятелно възлагана на отделен експерт и чието изпълнение може да се проследи еднозначно, т.е. има ясно дефинирани начало и край и измерими резултати)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, отчитането на резултатите и проследяване на спазване на изискванията за качество.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4. Описани са действията на ръководния, експертния и трудовия ресурс, които ще бъдат предприети при възникване на ситуации по прекъсване изпълнението на обществената поръчка от страна на Възложителя; посочени са и други организационни мерки на ръководния, експертния и трудовия ресурс, извън посочените в изискванията на Възложителя, които са описани като вид, обхват и съдържание и е доказано, че тяхното включване ще доведе до повишаване качеството на изпълнение на поръчката.</w:t>
            </w:r>
          </w:p>
          <w:p w:rsidR="006D1164" w:rsidRPr="006D1164" w:rsidRDefault="006D1164" w:rsidP="006D1164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„Доказано“ за целите на настоящата методика, означава обяснение по избран от участника начин (напр. текст, диаграма, графика, таблица и др.) за приложимостта и полезността на предложените дейности при изпълнението на поръчката.</w:t>
            </w:r>
          </w:p>
        </w:tc>
        <w:tc>
          <w:tcPr>
            <w:tcW w:w="1436" w:type="dxa"/>
            <w:shd w:val="clear" w:color="auto" w:fill="auto"/>
          </w:tcPr>
          <w:p w:rsidR="006D1164" w:rsidRPr="006D1164" w:rsidRDefault="006D1164" w:rsidP="006D1164">
            <w:pPr>
              <w:spacing w:before="120" w:after="12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>30</w:t>
            </w:r>
          </w:p>
        </w:tc>
      </w:tr>
      <w:tr w:rsidR="006D1164" w:rsidRPr="006D1164" w:rsidTr="0071741E">
        <w:trPr>
          <w:trHeight w:val="185"/>
        </w:trPr>
        <w:tc>
          <w:tcPr>
            <w:tcW w:w="8013" w:type="dxa"/>
            <w:shd w:val="clear" w:color="auto" w:fill="auto"/>
          </w:tcPr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 xml:space="preserve">Предложената от участника организация на персонала осигурява изпълнението на минималните изисквания на Възложителя, а именно: 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- участникът е предложил организация на ключовите експерти /ръководен състав/ и трудовия ресурс /работници/, посочил е как се разпределят отговорностите и дейностите между тях, координация, съгласуване на дейностите и организационни мерки, които са необходими за качественото и срочно изпълнение на проектирането, строителството и авторския надзор. </w:t>
            </w:r>
          </w:p>
          <w:p w:rsidR="006D1164" w:rsidRPr="006D1164" w:rsidRDefault="006D1164" w:rsidP="006D1164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- участникът е предложил начини за осъществяване на комуникация с Възложителя, които начини осигуряват ефективност и надеждност на комуникацията.</w:t>
            </w:r>
          </w:p>
          <w:p w:rsidR="006D1164" w:rsidRPr="006D1164" w:rsidRDefault="006D1164" w:rsidP="006D1164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Под термина „ефективност“ се разбира комуникация, която осигурява законосъобразно разрешаване на възникнали проблеми при изпълнение на 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>проектирането, строителството и авторския надзор и законосъобразното уреждане на възникнали спорове между Възложителя и Изпълнителя.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Под термина „надеждност“ се разбира комуникация, която осигурява доказуемост на отправените изявления от едната до другата страна в процеса на комуникация.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Участникът е предложил концепция за организация на персонала, при която са налични 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bg-BG" w:eastAsia="bg-BG"/>
              </w:rPr>
              <w:t>три от следните обстоятелства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: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1. За изпълнението на всяка задача при проектирането, строителството и авторския надзор, е показано разпределението по експерти (кой какво ще изпълнява) на ниво отделна задача </w:t>
            </w:r>
            <w:r w:rsidRPr="006D11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 w:eastAsia="bg-BG"/>
              </w:rPr>
              <w:t>(за целите на настоящата методика под „задача“ се разбира обособена част от възложените работи, която може да бъде самостоятелно възлагана на отделен експерт и чието изпълнение може да се проследи еднозначно, т.е. има ясно дефинирани начало и край и измерими резултати)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;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2. За изпълнението на всяка задача при проектирането, строителството и авторския надзор, на ниво отделна задача </w:t>
            </w:r>
            <w:r w:rsidRPr="006D11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 w:eastAsia="bg-BG"/>
              </w:rPr>
              <w:t>(за целите на настоящата методика под „задача“ се разбира обособена част от възложените работи, която може да бъде самостоятелно възлагана на отделен експерт и чието изпълнение може да се проследи еднозначно, т.е. има ясно дефинирани начало и край и измерими резултати), е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дефиниран необходимия човешки ресурс – звена /бригади или еквивалентни/, състав на същите, в това число посочване на отговорен експерт/и, пряк ръководител /бригадир или еквивалентен/ и персонал, за тяхното изпълнение и задълженията на отговорния за изпълнението им експерт/и, задълженията на отговорния пряк ръководител /бригадир или еквивалентни/ и задълженията на отделните проектанти или строителните работници, за съответната задача;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3. Предложена е система за вътрешен контрол на организация на екипа за изпълнение на обществената поръчка, включваща ръководител проектиране и авторски надзор, експерти проектиране и авторски надзор, технически сътрудници проектиране и авторски надзор, началник строителен обект, технически ръководител, експерти, друг персонал с ръководни функции и строителни работници; описан е контрола върху изпълнението на ниво отделна задача</w:t>
            </w:r>
            <w:r w:rsidRPr="006D11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 w:eastAsia="bg-BG"/>
              </w:rPr>
              <w:t>(за целите на настоящата методика под „задача“ се разбира обособена част от възложените работи, която може да бъде самостоятелно възлагана на отделен експерт и чието изпълнение може да се проследи еднозначно, т.е. има ясно дефинирани начало и край и измерими резултати)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, отчитането на резултатите и проследяване на спазване на изискванията за качество.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4. Описани са действията на ръководния, експертния и трудовия ресурс, които ще бъдат предприети при възникване на ситуации по прекъсване изпълнението на обществената поръчка от страна на Възложителя; посочени са и други организационни мерки на ръководния, експертния и трудовия ресурс, извън посочените в изискванията на Възложителя, които са описани 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>като вид, обхват и съдържание и е доказано, че тяхното включване ще доведе до повишаване качеството на изпълнение на поръчката.</w:t>
            </w:r>
          </w:p>
          <w:p w:rsidR="006D1164" w:rsidRPr="006D1164" w:rsidRDefault="006D1164" w:rsidP="006D1164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„Доказано“ за целите на настоящата методика, означава обяснение по избран от участника начин (напр. текст, диаграма, графика, таблица и др.) за приложимостта и полезността на предложените дейности при изпълнението на поръчката.</w:t>
            </w:r>
          </w:p>
        </w:tc>
        <w:tc>
          <w:tcPr>
            <w:tcW w:w="1436" w:type="dxa"/>
            <w:shd w:val="clear" w:color="auto" w:fill="auto"/>
          </w:tcPr>
          <w:p w:rsidR="006D1164" w:rsidRPr="006D1164" w:rsidRDefault="006D1164" w:rsidP="006D1164">
            <w:pPr>
              <w:spacing w:before="120" w:after="12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>40</w:t>
            </w:r>
          </w:p>
        </w:tc>
      </w:tr>
      <w:tr w:rsidR="006D1164" w:rsidRPr="006D1164" w:rsidTr="0071741E">
        <w:trPr>
          <w:trHeight w:val="185"/>
        </w:trPr>
        <w:tc>
          <w:tcPr>
            <w:tcW w:w="8013" w:type="dxa"/>
            <w:shd w:val="clear" w:color="auto" w:fill="auto"/>
          </w:tcPr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 xml:space="preserve">Предложената от участника организация на персонала осигурява изпълнението на минималните изисквания на Възложителя, а именно: 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- участникът е предложил организация на ключовите експерти /ръководен състав/ и трудовия ресурс /работници/, посочил е как се разпределят отговорностите и дейностите между тях, координация, съгласуване на дейностите и организационни мерки, които са необходими за качественото и срочно изпълнение на проектирането, строителството и авторския надзор. </w:t>
            </w:r>
          </w:p>
          <w:p w:rsidR="006D1164" w:rsidRPr="006D1164" w:rsidRDefault="006D1164" w:rsidP="006D1164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- участникът е предложил начини за осъществяване на комуникация с Възложителя, които начини осигуряват ефективност и надеждност на комуникацията.</w:t>
            </w:r>
          </w:p>
          <w:p w:rsidR="006D1164" w:rsidRPr="006D1164" w:rsidRDefault="006D1164" w:rsidP="006D1164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Под термина „ефективност“ се разбира комуникация, която осигурява законосъобразно разрешаване на възникнали проблеми при изпълнение на проектирането, строителството и авторския надзор и законосъобразното уреждане на възникнали спорове между Възложителя и Изпълнителя.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Под термина „надеждност“ се разбира комуникация, която осигурява доказуемост на отправените изявления от едната до другата страна в процеса на комуникация.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Участникът е предложил концепция за организация на персонала, при която са налични 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bg-BG" w:eastAsia="bg-BG"/>
              </w:rPr>
              <w:t>четири от следните обстоятелства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: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1. За изпълнението на всяка задача при проектирането, строителството и авторския надзор, е показано разпределението по експерти (кой какво ще изпълнява) на ниво отделна задача </w:t>
            </w:r>
            <w:r w:rsidRPr="006D11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 w:eastAsia="bg-BG"/>
              </w:rPr>
              <w:t>(за целите на настоящата методика под „задача“ се разбира обособена част от възложените работи, която може да бъде самостоятелно възлагана на отделен експерт и чието изпълнение може да се проследи еднозначно, т.е. има ясно дефинирани начало и край и измерими резултати)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;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2. За изпълнението на всяка задача при проектирането, строителството и авторския надзор, на ниво отделна задача </w:t>
            </w:r>
            <w:r w:rsidRPr="006D11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 w:eastAsia="bg-BG"/>
              </w:rPr>
              <w:t>(за целите на настоящата методика под „задача“ се разбира обособена част от възложените работи, която може да бъде самостоятелно възлагана на отделен експерт и чието изпълнение може да се проследи еднозначно, т.е. има ясно дефинирани начало и край и измерими резултати), е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 дефиниран необходимия човешки ресурс – звена /бригади или еквивалентни/, състав на същите, в това число посочване на отговорен експерт/и, пряк ръководител /бригадир или еквивалентен/ и персонал, за тяхното изпълнение и задълженията на отговорния за изпълнението им експерт/и, задълженията на отговорния пряк 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>ръководител /бригадир или еквивалентни/ и задълженията на отделните проектанти или строителните работници, за съответната задача;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3. Предложена е система за вътрешен контрол на организация на екипа за изпълнение на обществената поръчка, включваща ръководител проектиране и авторски надзор, експерти проектиране и авторски надзор, технически сътрудници проектиране и авторски надзор, началник строителен обект, технически ръководител, експерти, друг персонал с ръководни функции и строителни работници; описан е контрола върху изпълнението на ниво отделна задача</w:t>
            </w:r>
            <w:r w:rsidRPr="006D11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bg-BG" w:eastAsia="bg-BG"/>
              </w:rPr>
              <w:t>(за целите на настоящата методика под „задача“ се разбира обособена част от възложените работи, която може да бъде самостоятелно възлагана на отделен експерт и чието изпълнение може да се проследи еднозначно, т.е. има ясно дефинирани начало и край и измерими резултати)</w:t>
            </w: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, отчитането на резултатите и проследяване на спазване на изискванията за качество.</w:t>
            </w:r>
          </w:p>
          <w:p w:rsidR="006D1164" w:rsidRPr="006D1164" w:rsidRDefault="006D1164" w:rsidP="006D1164">
            <w:pPr>
              <w:shd w:val="clear" w:color="auto" w:fill="FFFFFF"/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4. Описани са действията на ръководния, експертния и трудовия ресурс, които ще бъдат предприети при възникване на ситуации по прекъсване изпълнението на обществената поръчка от страна на Възложителя; посочени са и други организационни мерки на ръководния, експертния и трудовия ресурс, извън посочените в изискванията на Възложителя, които са описани като вид, обхват и съдържание и е доказано, че тяхното включване ще доведе до повишаване качеството на изпълнение на поръчката.</w:t>
            </w:r>
          </w:p>
          <w:p w:rsidR="006D1164" w:rsidRPr="006D1164" w:rsidRDefault="006D1164" w:rsidP="006D1164">
            <w:pPr>
              <w:spacing w:before="120" w:after="12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„Доказано“ за целите на настоящата методика, означава обяснение по избран от участника начин (напр. текст, диаграма, графика, таблица и др.) за приложимостта и полезността на предложените дейности при изпълнението на поръчката.</w:t>
            </w:r>
          </w:p>
        </w:tc>
        <w:tc>
          <w:tcPr>
            <w:tcW w:w="1436" w:type="dxa"/>
            <w:shd w:val="clear" w:color="auto" w:fill="auto"/>
          </w:tcPr>
          <w:p w:rsidR="006D1164" w:rsidRPr="006D1164" w:rsidRDefault="006D1164" w:rsidP="006D1164">
            <w:pPr>
              <w:spacing w:before="120" w:after="12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6D11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>50</w:t>
            </w:r>
          </w:p>
        </w:tc>
      </w:tr>
    </w:tbl>
    <w:p w:rsidR="006D1164" w:rsidRPr="006D1164" w:rsidRDefault="006D1164" w:rsidP="006D1164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1164" w:rsidRPr="006D1164" w:rsidRDefault="006D1164" w:rsidP="006D1164">
      <w:pPr>
        <w:spacing w:before="120" w:after="12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II-II.</w:t>
      </w:r>
      <w:r w:rsidRPr="006D116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>ФИНАНСОВА ОЦЕНКА НА ОФЕРТАТА</w:t>
      </w:r>
    </w:p>
    <w:p w:rsidR="006D1164" w:rsidRPr="006D1164" w:rsidRDefault="006D1164" w:rsidP="006D1164">
      <w:pPr>
        <w:spacing w:before="120" w:after="200" w:line="276" w:lineRule="auto"/>
        <w:ind w:firstLine="708"/>
        <w:jc w:val="both"/>
        <w:outlineLvl w:val="4"/>
        <w:rPr>
          <w:rFonts w:ascii="Times New Roman" w:eastAsia="Times New Roman" w:hAnsi="Times New Roman" w:cs="Times New Roman"/>
          <w:lang w:val="bg-BG" w:eastAsia="bg-BG"/>
        </w:rPr>
      </w:pPr>
      <w:r w:rsidRPr="006D1164">
        <w:rPr>
          <w:rFonts w:ascii="Times New Roman" w:eastAsia="Times New Roman" w:hAnsi="Times New Roman" w:cs="Times New Roman"/>
          <w:lang w:val="bg-BG" w:eastAsia="bg-BG"/>
        </w:rPr>
        <w:t>Финансовата оценка за всеки отделен участник в процедурата се извършва съгласно следната методика:</w:t>
      </w:r>
    </w:p>
    <w:p w:rsidR="006D1164" w:rsidRPr="006D1164" w:rsidRDefault="006D1164" w:rsidP="006D1164">
      <w:pPr>
        <w:spacing w:after="200" w:line="300" w:lineRule="exact"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6D1164">
        <w:rPr>
          <w:rFonts w:ascii="Times New Roman" w:eastAsia="Times New Roman" w:hAnsi="Times New Roman" w:cs="Times New Roman"/>
          <w:lang w:val="bg-BG" w:eastAsia="bg-BG"/>
        </w:rPr>
        <w:t xml:space="preserve">Най-ниската цена за изпълнение, носи на кандидата 50  точки. Общата финансова оценка (Ц) за този кандидат е 50 точки. </w:t>
      </w:r>
    </w:p>
    <w:p w:rsidR="006D1164" w:rsidRPr="006D1164" w:rsidRDefault="006D1164" w:rsidP="006D1164">
      <w:pPr>
        <w:spacing w:after="200" w:line="300" w:lineRule="exact"/>
        <w:ind w:firstLine="708"/>
        <w:jc w:val="both"/>
        <w:rPr>
          <w:rFonts w:ascii="Times New Roman" w:eastAsia="Times New Roman" w:hAnsi="Times New Roman" w:cs="Times New Roman"/>
          <w:lang w:val="bg-BG" w:eastAsia="ar-SA"/>
        </w:rPr>
      </w:pPr>
      <w:r w:rsidRPr="006D1164">
        <w:rPr>
          <w:rFonts w:ascii="Times New Roman" w:eastAsia="Times New Roman" w:hAnsi="Times New Roman" w:cs="Times New Roman"/>
          <w:lang w:val="bg-BG" w:eastAsia="bg-BG"/>
        </w:rPr>
        <w:t>Ц= Ц1+Ц2+Ц3</w:t>
      </w:r>
    </w:p>
    <w:p w:rsidR="006D1164" w:rsidRPr="006D1164" w:rsidRDefault="006D1164" w:rsidP="006D1164">
      <w:pPr>
        <w:spacing w:after="200" w:line="300" w:lineRule="exact"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6D1164">
        <w:rPr>
          <w:rFonts w:ascii="Times New Roman" w:eastAsia="Times New Roman" w:hAnsi="Times New Roman" w:cs="Times New Roman"/>
          <w:lang w:val="bg-BG" w:eastAsia="bg-BG"/>
        </w:rPr>
        <w:t>Където:</w:t>
      </w:r>
    </w:p>
    <w:p w:rsidR="006D1164" w:rsidRPr="006D1164" w:rsidRDefault="006D1164" w:rsidP="006D1164">
      <w:pPr>
        <w:spacing w:after="200" w:line="300" w:lineRule="exact"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6D1164">
        <w:rPr>
          <w:rFonts w:ascii="Times New Roman" w:eastAsia="Times New Roman" w:hAnsi="Times New Roman" w:cs="Times New Roman"/>
          <w:lang w:val="bg-BG" w:eastAsia="bg-BG"/>
        </w:rPr>
        <w:t>Ц –  Обща финансова оценка за изпълнение на поръчката.</w:t>
      </w:r>
    </w:p>
    <w:p w:rsidR="006D1164" w:rsidRPr="006D1164" w:rsidRDefault="006D1164" w:rsidP="006D1164">
      <w:pPr>
        <w:spacing w:after="200" w:line="300" w:lineRule="exact"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6D1164">
        <w:rPr>
          <w:rFonts w:ascii="Times New Roman" w:eastAsia="Times New Roman" w:hAnsi="Times New Roman" w:cs="Times New Roman"/>
          <w:lang w:val="bg-BG" w:eastAsia="bg-BG"/>
        </w:rPr>
        <w:t>Ц1 – Цена за изпълнение на инвестиционното проектиране;</w:t>
      </w:r>
    </w:p>
    <w:p w:rsidR="006D1164" w:rsidRPr="006D1164" w:rsidRDefault="006D1164" w:rsidP="006D1164">
      <w:pPr>
        <w:spacing w:after="200" w:line="300" w:lineRule="exact"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6D1164">
        <w:rPr>
          <w:rFonts w:ascii="Times New Roman" w:eastAsia="Times New Roman" w:hAnsi="Times New Roman" w:cs="Times New Roman"/>
          <w:lang w:val="bg-BG" w:eastAsia="bg-BG"/>
        </w:rPr>
        <w:t>Ц2 – Цена за изпълнение на строителството;</w:t>
      </w:r>
    </w:p>
    <w:p w:rsidR="006D1164" w:rsidRPr="006D1164" w:rsidRDefault="006D1164" w:rsidP="006D1164">
      <w:pPr>
        <w:spacing w:after="200" w:line="300" w:lineRule="exact"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6D1164">
        <w:rPr>
          <w:rFonts w:ascii="Times New Roman" w:eastAsia="Times New Roman" w:hAnsi="Times New Roman" w:cs="Times New Roman"/>
          <w:lang w:val="bg-BG" w:eastAsia="bg-BG"/>
        </w:rPr>
        <w:t>Ц3 – Цена за изпълнение на авторския надзор.</w:t>
      </w:r>
    </w:p>
    <w:p w:rsidR="006D1164" w:rsidRPr="006D1164" w:rsidRDefault="006D1164" w:rsidP="006D1164">
      <w:pPr>
        <w:spacing w:after="200" w:line="300" w:lineRule="exact"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6D1164" w:rsidRPr="006D1164" w:rsidRDefault="006D1164" w:rsidP="006D1164">
      <w:pPr>
        <w:spacing w:after="200" w:line="300" w:lineRule="exact"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6D1164">
        <w:rPr>
          <w:rFonts w:ascii="Times New Roman" w:eastAsia="Times New Roman" w:hAnsi="Times New Roman" w:cs="Times New Roman"/>
          <w:lang w:val="bg-BG" w:eastAsia="bg-BG"/>
        </w:rPr>
        <w:t xml:space="preserve">Ц1 – Цена за изпълнение на инвестиционното проектиране. Най-ниската цена носи на участника 5 точки. </w:t>
      </w:r>
    </w:p>
    <w:p w:rsidR="006D1164" w:rsidRPr="006D1164" w:rsidRDefault="006D1164" w:rsidP="006D1164">
      <w:pPr>
        <w:spacing w:after="200" w:line="300" w:lineRule="exact"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6D1164">
        <w:rPr>
          <w:rFonts w:ascii="Times New Roman" w:eastAsia="Times New Roman" w:hAnsi="Times New Roman" w:cs="Times New Roman"/>
          <w:lang w:val="bg-BG" w:eastAsia="bg-BG"/>
        </w:rPr>
        <w:t>За останалите участници оценката по този компонент се изчислява по следната формула:</w:t>
      </w:r>
    </w:p>
    <w:p w:rsidR="006D1164" w:rsidRPr="006D1164" w:rsidRDefault="006D1164" w:rsidP="006D1164">
      <w:pPr>
        <w:keepNext/>
        <w:tabs>
          <w:tab w:val="num" w:pos="615"/>
        </w:tabs>
        <w:spacing w:after="0" w:line="300" w:lineRule="exact"/>
        <w:ind w:firstLine="72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Ц1 =      </w:t>
      </w:r>
      <w:r w:rsidRPr="006D1164">
        <w:rPr>
          <w:rFonts w:ascii="Times New Roman" w:eastAsia="Times New Roman" w:hAnsi="Times New Roman" w:cs="Times New Roman"/>
          <w:i/>
          <w:sz w:val="24"/>
          <w:szCs w:val="24"/>
          <w:u w:val="single"/>
          <w:lang w:val="bg-BG" w:eastAsia="bg-BG"/>
        </w:rPr>
        <w:t xml:space="preserve">Най – ниска  цена  </w:t>
      </w:r>
      <w:r w:rsidRPr="006D1164">
        <w:rPr>
          <w:rFonts w:ascii="Times New Roman" w:eastAsia="Times New Roman" w:hAnsi="Times New Roman" w:cs="Times New Roman"/>
          <w:sz w:val="24"/>
          <w:szCs w:val="24"/>
          <w:u w:val="single"/>
          <w:lang w:val="bg-BG" w:eastAsia="bg-BG"/>
        </w:rPr>
        <w:t xml:space="preserve"> </w:t>
      </w: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Х 5</w:t>
      </w:r>
    </w:p>
    <w:p w:rsidR="006D1164" w:rsidRPr="006D1164" w:rsidRDefault="006D1164" w:rsidP="006D1164">
      <w:pPr>
        <w:spacing w:after="200" w:line="300" w:lineRule="exact"/>
        <w:ind w:firstLine="708"/>
        <w:jc w:val="center"/>
        <w:rPr>
          <w:rFonts w:ascii="Times New Roman" w:eastAsia="Times New Roman" w:hAnsi="Times New Roman" w:cs="Times New Roman"/>
          <w:i/>
          <w:lang w:val="bg-BG" w:eastAsia="bg-BG"/>
        </w:rPr>
      </w:pPr>
      <w:r w:rsidRPr="006D1164">
        <w:rPr>
          <w:rFonts w:ascii="Times New Roman" w:eastAsia="Times New Roman" w:hAnsi="Times New Roman" w:cs="Times New Roman"/>
          <w:i/>
          <w:lang w:val="bg-BG" w:eastAsia="bg-BG"/>
        </w:rPr>
        <w:t>Цена на кандидата</w:t>
      </w:r>
    </w:p>
    <w:p w:rsidR="006D1164" w:rsidRPr="006D1164" w:rsidRDefault="006D1164" w:rsidP="006D1164">
      <w:pPr>
        <w:spacing w:after="200" w:line="300" w:lineRule="exact"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6D1164">
        <w:rPr>
          <w:rFonts w:ascii="Times New Roman" w:eastAsia="Times New Roman" w:hAnsi="Times New Roman" w:cs="Times New Roman"/>
          <w:lang w:val="bg-BG" w:eastAsia="bg-BG"/>
        </w:rPr>
        <w:t>Оценката на кандидата се закръглява до втория знак след десетичната запетая.</w:t>
      </w:r>
    </w:p>
    <w:p w:rsidR="006D1164" w:rsidRPr="006D1164" w:rsidRDefault="006D1164" w:rsidP="006D1164">
      <w:pPr>
        <w:spacing w:after="200" w:line="300" w:lineRule="exact"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6D1164">
        <w:rPr>
          <w:rFonts w:ascii="Times New Roman" w:eastAsia="Times New Roman" w:hAnsi="Times New Roman" w:cs="Times New Roman"/>
          <w:lang w:val="bg-BG" w:eastAsia="bg-BG"/>
        </w:rPr>
        <w:t xml:space="preserve">Ц2 – Цена за изпълнение на строителството. Най-ниската цена носи на участника 40 точки. </w:t>
      </w:r>
    </w:p>
    <w:p w:rsidR="006D1164" w:rsidRPr="006D1164" w:rsidRDefault="006D1164" w:rsidP="006D1164">
      <w:pPr>
        <w:spacing w:after="200" w:line="300" w:lineRule="exact"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6D1164">
        <w:rPr>
          <w:rFonts w:ascii="Times New Roman" w:eastAsia="Times New Roman" w:hAnsi="Times New Roman" w:cs="Times New Roman"/>
          <w:lang w:val="bg-BG" w:eastAsia="bg-BG"/>
        </w:rPr>
        <w:t>За останалите участници оценката по този компонент се изчислява по следната формула:</w:t>
      </w:r>
    </w:p>
    <w:p w:rsidR="006D1164" w:rsidRPr="006D1164" w:rsidRDefault="006D1164" w:rsidP="006D1164">
      <w:pPr>
        <w:keepNext/>
        <w:tabs>
          <w:tab w:val="num" w:pos="615"/>
        </w:tabs>
        <w:spacing w:after="0" w:line="300" w:lineRule="exact"/>
        <w:ind w:firstLine="72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Ц2 =      </w:t>
      </w:r>
      <w:r w:rsidRPr="006D1164">
        <w:rPr>
          <w:rFonts w:ascii="Times New Roman" w:eastAsia="Times New Roman" w:hAnsi="Times New Roman" w:cs="Times New Roman"/>
          <w:i/>
          <w:sz w:val="24"/>
          <w:szCs w:val="24"/>
          <w:u w:val="single"/>
          <w:lang w:val="bg-BG" w:eastAsia="bg-BG"/>
        </w:rPr>
        <w:t xml:space="preserve">Най – ниска  цена  </w:t>
      </w:r>
      <w:r w:rsidRPr="006D1164">
        <w:rPr>
          <w:rFonts w:ascii="Times New Roman" w:eastAsia="Times New Roman" w:hAnsi="Times New Roman" w:cs="Times New Roman"/>
          <w:sz w:val="24"/>
          <w:szCs w:val="24"/>
          <w:u w:val="single"/>
          <w:lang w:val="bg-BG" w:eastAsia="bg-BG"/>
        </w:rPr>
        <w:t xml:space="preserve"> </w:t>
      </w: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Х 40</w:t>
      </w:r>
    </w:p>
    <w:p w:rsidR="006D1164" w:rsidRPr="006D1164" w:rsidRDefault="006D1164" w:rsidP="006D1164">
      <w:pPr>
        <w:spacing w:after="200" w:line="300" w:lineRule="exact"/>
        <w:ind w:firstLine="708"/>
        <w:jc w:val="center"/>
        <w:rPr>
          <w:rFonts w:ascii="Times New Roman" w:eastAsia="Times New Roman" w:hAnsi="Times New Roman" w:cs="Times New Roman"/>
          <w:i/>
          <w:lang w:val="bg-BG" w:eastAsia="bg-BG"/>
        </w:rPr>
      </w:pPr>
      <w:r w:rsidRPr="006D1164">
        <w:rPr>
          <w:rFonts w:ascii="Times New Roman" w:eastAsia="Times New Roman" w:hAnsi="Times New Roman" w:cs="Times New Roman"/>
          <w:i/>
          <w:lang w:val="bg-BG" w:eastAsia="bg-BG"/>
        </w:rPr>
        <w:t>Цена на кандидата</w:t>
      </w:r>
    </w:p>
    <w:p w:rsidR="006D1164" w:rsidRPr="006D1164" w:rsidRDefault="006D1164" w:rsidP="006D1164">
      <w:pPr>
        <w:spacing w:after="200" w:line="300" w:lineRule="exact"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6D1164">
        <w:rPr>
          <w:rFonts w:ascii="Times New Roman" w:eastAsia="Times New Roman" w:hAnsi="Times New Roman" w:cs="Times New Roman"/>
          <w:lang w:val="bg-BG" w:eastAsia="bg-BG"/>
        </w:rPr>
        <w:t>Оценката на кандидата се закръглява до втория знак след десетичната запетая.</w:t>
      </w:r>
    </w:p>
    <w:p w:rsidR="006D1164" w:rsidRPr="006D1164" w:rsidRDefault="006D1164" w:rsidP="006D1164">
      <w:pPr>
        <w:spacing w:after="200" w:line="300" w:lineRule="exact"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</w:p>
    <w:p w:rsidR="006D1164" w:rsidRPr="006D1164" w:rsidRDefault="006D1164" w:rsidP="006D1164">
      <w:pPr>
        <w:spacing w:after="200" w:line="300" w:lineRule="exact"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6D1164">
        <w:rPr>
          <w:rFonts w:ascii="Times New Roman" w:eastAsia="Times New Roman" w:hAnsi="Times New Roman" w:cs="Times New Roman"/>
          <w:lang w:val="bg-BG" w:eastAsia="bg-BG"/>
        </w:rPr>
        <w:t xml:space="preserve">Ц3 – Цена за изпълнение на авторския надзор. Най-ниската цена носи на участника 5 точки. </w:t>
      </w:r>
    </w:p>
    <w:p w:rsidR="006D1164" w:rsidRPr="006D1164" w:rsidRDefault="006D1164" w:rsidP="006D1164">
      <w:pPr>
        <w:spacing w:after="200" w:line="300" w:lineRule="exact"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6D1164">
        <w:rPr>
          <w:rFonts w:ascii="Times New Roman" w:eastAsia="Times New Roman" w:hAnsi="Times New Roman" w:cs="Times New Roman"/>
          <w:lang w:val="bg-BG" w:eastAsia="bg-BG"/>
        </w:rPr>
        <w:t>За останалите участници оценката по този компонент се изчислява по следната формула:</w:t>
      </w:r>
    </w:p>
    <w:p w:rsidR="006D1164" w:rsidRPr="006D1164" w:rsidRDefault="006D1164" w:rsidP="006D1164">
      <w:pPr>
        <w:keepNext/>
        <w:tabs>
          <w:tab w:val="num" w:pos="615"/>
        </w:tabs>
        <w:spacing w:after="0" w:line="300" w:lineRule="exact"/>
        <w:ind w:firstLine="72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Ц3 =      </w:t>
      </w:r>
      <w:r w:rsidRPr="006D1164">
        <w:rPr>
          <w:rFonts w:ascii="Times New Roman" w:eastAsia="Times New Roman" w:hAnsi="Times New Roman" w:cs="Times New Roman"/>
          <w:i/>
          <w:sz w:val="24"/>
          <w:szCs w:val="24"/>
          <w:u w:val="single"/>
          <w:lang w:val="bg-BG" w:eastAsia="bg-BG"/>
        </w:rPr>
        <w:t xml:space="preserve">Най – ниска  цена  </w:t>
      </w:r>
      <w:r w:rsidRPr="006D1164">
        <w:rPr>
          <w:rFonts w:ascii="Times New Roman" w:eastAsia="Times New Roman" w:hAnsi="Times New Roman" w:cs="Times New Roman"/>
          <w:sz w:val="24"/>
          <w:szCs w:val="24"/>
          <w:u w:val="single"/>
          <w:lang w:val="bg-BG" w:eastAsia="bg-BG"/>
        </w:rPr>
        <w:t xml:space="preserve"> </w:t>
      </w: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   Х 5</w:t>
      </w:r>
    </w:p>
    <w:p w:rsidR="006D1164" w:rsidRPr="006D1164" w:rsidRDefault="006D1164" w:rsidP="006D1164">
      <w:pPr>
        <w:spacing w:after="200" w:line="300" w:lineRule="exact"/>
        <w:ind w:firstLine="708"/>
        <w:jc w:val="center"/>
        <w:rPr>
          <w:rFonts w:ascii="Times New Roman" w:eastAsia="Times New Roman" w:hAnsi="Times New Roman" w:cs="Times New Roman"/>
          <w:i/>
          <w:lang w:val="bg-BG" w:eastAsia="bg-BG"/>
        </w:rPr>
      </w:pPr>
      <w:r w:rsidRPr="006D1164">
        <w:rPr>
          <w:rFonts w:ascii="Times New Roman" w:eastAsia="Times New Roman" w:hAnsi="Times New Roman" w:cs="Times New Roman"/>
          <w:i/>
          <w:lang w:val="bg-BG" w:eastAsia="bg-BG"/>
        </w:rPr>
        <w:t>Цена на кандидата</w:t>
      </w:r>
    </w:p>
    <w:p w:rsidR="006D1164" w:rsidRPr="006D1164" w:rsidRDefault="006D1164" w:rsidP="006D1164">
      <w:pPr>
        <w:spacing w:after="200" w:line="300" w:lineRule="exact"/>
        <w:ind w:firstLine="708"/>
        <w:jc w:val="both"/>
        <w:rPr>
          <w:rFonts w:ascii="Times New Roman" w:eastAsia="Times New Roman" w:hAnsi="Times New Roman" w:cs="Times New Roman"/>
          <w:lang w:val="bg-BG" w:eastAsia="bg-BG"/>
        </w:rPr>
      </w:pPr>
      <w:r w:rsidRPr="006D1164">
        <w:rPr>
          <w:rFonts w:ascii="Times New Roman" w:eastAsia="Times New Roman" w:hAnsi="Times New Roman" w:cs="Times New Roman"/>
          <w:lang w:val="bg-BG" w:eastAsia="bg-BG"/>
        </w:rPr>
        <w:t>Оценката на кандидата се закръглява до втория знак след десетичната запетая.</w:t>
      </w:r>
    </w:p>
    <w:p w:rsidR="006D1164" w:rsidRPr="006D1164" w:rsidRDefault="006D1164" w:rsidP="006D1164">
      <w:pPr>
        <w:spacing w:before="120" w:after="200" w:line="276" w:lineRule="auto"/>
        <w:ind w:left="360"/>
        <w:jc w:val="both"/>
        <w:outlineLvl w:val="4"/>
        <w:rPr>
          <w:rFonts w:ascii="Times New Roman" w:eastAsia="Times New Roman" w:hAnsi="Times New Roman" w:cs="Times New Roman"/>
          <w:lang w:val="bg-BG" w:eastAsia="bg-BG"/>
        </w:rPr>
      </w:pPr>
    </w:p>
    <w:p w:rsidR="006D1164" w:rsidRPr="006D1164" w:rsidRDefault="006D1164" w:rsidP="006D1164">
      <w:pPr>
        <w:spacing w:before="120" w:after="200" w:line="276" w:lineRule="auto"/>
        <w:ind w:left="360"/>
        <w:jc w:val="both"/>
        <w:outlineLvl w:val="4"/>
        <w:rPr>
          <w:rFonts w:ascii="Times New Roman" w:eastAsia="Times New Roman" w:hAnsi="Times New Roman" w:cs="Times New Roman"/>
          <w:lang w:val="bg-BG" w:eastAsia="bg-BG"/>
        </w:rPr>
      </w:pPr>
      <w:r w:rsidRPr="006D1164">
        <w:rPr>
          <w:rFonts w:ascii="Times New Roman" w:eastAsia="Times New Roman" w:hAnsi="Times New Roman" w:cs="Times New Roman"/>
          <w:lang w:val="bg-BG" w:eastAsia="bg-BG"/>
        </w:rPr>
        <w:t xml:space="preserve">Максималната стойност на </w:t>
      </w:r>
      <w:r w:rsidRPr="006D1164">
        <w:rPr>
          <w:rFonts w:ascii="Times New Roman" w:eastAsia="Times New Roman" w:hAnsi="Times New Roman" w:cs="Times New Roman"/>
          <w:b/>
          <w:lang w:val="bg-BG" w:eastAsia="bg-BG"/>
        </w:rPr>
        <w:t>ФО</w:t>
      </w:r>
      <w:r w:rsidRPr="006D1164">
        <w:rPr>
          <w:rFonts w:ascii="Times New Roman" w:eastAsia="Times New Roman" w:hAnsi="Times New Roman" w:cs="Times New Roman"/>
          <w:b/>
          <w:vertAlign w:val="subscript"/>
          <w:lang w:val="bg-BG" w:eastAsia="bg-BG"/>
        </w:rPr>
        <w:t>N</w:t>
      </w:r>
      <w:r w:rsidRPr="006D1164">
        <w:rPr>
          <w:rFonts w:ascii="Times New Roman" w:eastAsia="Times New Roman" w:hAnsi="Times New Roman" w:cs="Times New Roman"/>
          <w:lang w:val="bg-BG" w:eastAsia="bg-BG"/>
        </w:rPr>
        <w:t xml:space="preserve"> е 50 точки и се дава на участника, предложил най-ниска цена.</w:t>
      </w:r>
    </w:p>
    <w:p w:rsidR="006D1164" w:rsidRPr="006D1164" w:rsidRDefault="006D1164" w:rsidP="006D1164">
      <w:pPr>
        <w:spacing w:before="120" w:after="12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Максималната стойност на </w:t>
      </w:r>
      <w:r w:rsidRPr="006D116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ФО</w:t>
      </w:r>
      <w:r w:rsidRPr="006D1164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bg-BG" w:eastAsia="bg-BG"/>
        </w:rPr>
        <w:t>N</w:t>
      </w:r>
      <w:r w:rsidRPr="006D1164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е 50 точки и се дава на участника, предложил най-ниска цена.</w:t>
      </w:r>
    </w:p>
    <w:p w:rsidR="006D1164" w:rsidRPr="006D1164" w:rsidRDefault="006D1164" w:rsidP="006D1164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D1164" w:rsidRPr="006D1164" w:rsidRDefault="006D1164" w:rsidP="006D1164">
      <w:pPr>
        <w:spacing w:before="120" w:after="12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>II-III.</w:t>
      </w:r>
      <w:r w:rsidRPr="006D11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ab/>
        <w:t>КОМПЛЕКСНА ОЦЕНКА</w:t>
      </w:r>
    </w:p>
    <w:p w:rsidR="006D1164" w:rsidRPr="006D1164" w:rsidRDefault="006D1164" w:rsidP="006D1164">
      <w:pPr>
        <w:spacing w:before="120" w:after="12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Комплексната оценка се изчислява за всеки отделен участник по следния начин:</w:t>
      </w:r>
    </w:p>
    <w:p w:rsidR="006D1164" w:rsidRPr="006D1164" w:rsidRDefault="006D1164" w:rsidP="006D1164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6D1164" w:rsidRPr="006D1164" w:rsidRDefault="006D1164" w:rsidP="006D1164">
      <w:pPr>
        <w:spacing w:before="120" w:after="12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КО</w:t>
      </w:r>
      <w:r w:rsidRPr="006D1164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bg-BG" w:eastAsia="bg-BG"/>
        </w:rPr>
        <w:t>N</w:t>
      </w:r>
      <w:r w:rsidRPr="006D116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= ТО</w:t>
      </w:r>
      <w:r w:rsidRPr="006D1164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bg-BG" w:eastAsia="bg-BG"/>
        </w:rPr>
        <w:t>N</w:t>
      </w:r>
      <w:r w:rsidRPr="006D1164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+ ФО</w:t>
      </w:r>
      <w:r w:rsidRPr="006D1164">
        <w:rPr>
          <w:rFonts w:ascii="Times New Roman" w:eastAsia="Times New Roman" w:hAnsi="Times New Roman" w:cs="Times New Roman"/>
          <w:b/>
          <w:sz w:val="24"/>
          <w:szCs w:val="24"/>
          <w:vertAlign w:val="subscript"/>
          <w:lang w:val="bg-BG" w:eastAsia="bg-BG"/>
        </w:rPr>
        <w:t>N</w:t>
      </w:r>
    </w:p>
    <w:p w:rsidR="006D1164" w:rsidRPr="006D1164" w:rsidRDefault="006D1164" w:rsidP="006D1164">
      <w:pPr>
        <w:spacing w:before="120" w:after="12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Когато получените оценки (комплексна, техническа или финансова) не са цели числа, а десетични дроби, те следва да се закръглят до втория знак след десетичната запетая.</w:t>
      </w:r>
    </w:p>
    <w:p w:rsidR="006D1164" w:rsidRPr="006D1164" w:rsidRDefault="006D1164" w:rsidP="006D1164">
      <w:pPr>
        <w:spacing w:before="120" w:after="120" w:line="240" w:lineRule="auto"/>
        <w:ind w:firstLine="284"/>
        <w:jc w:val="both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6D116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 xml:space="preserve">Максималната стойност на </w:t>
      </w:r>
      <w:r w:rsidRPr="006D11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bg-BG" w:eastAsia="bg-BG"/>
        </w:rPr>
        <w:t>КО</w:t>
      </w:r>
      <w:r w:rsidRPr="006D1164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val="bg-BG" w:eastAsia="bg-BG"/>
        </w:rPr>
        <w:t>N</w:t>
      </w:r>
      <w:r w:rsidRPr="006D1164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 xml:space="preserve"> е 100 точки.</w:t>
      </w:r>
    </w:p>
    <w:p w:rsidR="006D1164" w:rsidRPr="006D1164" w:rsidRDefault="006D1164" w:rsidP="006D1164">
      <w:pPr>
        <w:spacing w:before="120" w:after="12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465F9" w:rsidRDefault="006465F9">
      <w:bookmarkStart w:id="6" w:name="_GoBack"/>
      <w:bookmarkEnd w:id="6"/>
    </w:p>
    <w:sectPr w:rsidR="006465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0B5" w:rsidRDefault="003A60B5" w:rsidP="006D1164">
      <w:pPr>
        <w:spacing w:after="0" w:line="240" w:lineRule="auto"/>
      </w:pPr>
      <w:r>
        <w:separator/>
      </w:r>
    </w:p>
  </w:endnote>
  <w:endnote w:type="continuationSeparator" w:id="0">
    <w:p w:rsidR="003A60B5" w:rsidRDefault="003A60B5" w:rsidP="006D1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0B5" w:rsidRDefault="003A60B5" w:rsidP="006D1164">
      <w:pPr>
        <w:spacing w:after="0" w:line="240" w:lineRule="auto"/>
      </w:pPr>
      <w:r>
        <w:separator/>
      </w:r>
    </w:p>
  </w:footnote>
  <w:footnote w:type="continuationSeparator" w:id="0">
    <w:p w:rsidR="003A60B5" w:rsidRDefault="003A60B5" w:rsidP="006D1164">
      <w:pPr>
        <w:spacing w:after="0" w:line="240" w:lineRule="auto"/>
      </w:pPr>
      <w:r>
        <w:continuationSeparator/>
      </w:r>
    </w:p>
  </w:footnote>
  <w:footnote w:id="1">
    <w:p w:rsidR="006D1164" w:rsidRPr="006D1164" w:rsidRDefault="006D1164" w:rsidP="006D1164">
      <w:pPr>
        <w:pStyle w:val="a3"/>
        <w:jc w:val="both"/>
        <w:rPr>
          <w:rFonts w:ascii="Calibri" w:hAnsi="Calibri"/>
          <w:i/>
          <w:sz w:val="18"/>
          <w:szCs w:val="18"/>
          <w:lang w:val="bg-BG"/>
        </w:rPr>
      </w:pPr>
      <w:r w:rsidRPr="006D1164">
        <w:rPr>
          <w:rStyle w:val="a5"/>
          <w:rFonts w:ascii="Calibri" w:hAnsi="Calibri"/>
          <w:i/>
          <w:sz w:val="18"/>
          <w:szCs w:val="18"/>
        </w:rPr>
        <w:footnoteRef/>
      </w:r>
      <w:r w:rsidRPr="006D1164">
        <w:rPr>
          <w:rFonts w:ascii="Calibri" w:hAnsi="Calibri"/>
          <w:i/>
          <w:sz w:val="18"/>
          <w:szCs w:val="18"/>
          <w:lang w:val="bg-BG"/>
        </w:rPr>
        <w:t>В този смисъл е и параграф 94 от Преамбюла на Директива 2014/24/ЕС на Европейския парламент и на съвета от 26 февруари 2014 година за обществените поръчки и за отмяна на Директива 2004/18/ЕО, който гласи:</w:t>
      </w:r>
    </w:p>
    <w:p w:rsidR="006D1164" w:rsidRPr="00A57783" w:rsidRDefault="006D1164" w:rsidP="006D1164">
      <w:pPr>
        <w:pStyle w:val="CM1"/>
        <w:spacing w:before="200" w:after="200"/>
        <w:jc w:val="both"/>
        <w:rPr>
          <w:rFonts w:cs="EUAlbertina"/>
          <w:color w:val="000000"/>
        </w:rPr>
      </w:pPr>
      <w:r w:rsidRPr="006D1164">
        <w:rPr>
          <w:rFonts w:ascii="Calibri" w:hAnsi="Calibri"/>
          <w:i/>
          <w:sz w:val="18"/>
          <w:szCs w:val="18"/>
        </w:rPr>
        <w:t>„</w:t>
      </w:r>
      <w:r w:rsidRPr="006D1164">
        <w:rPr>
          <w:rFonts w:ascii="Calibri" w:hAnsi="Calibri" w:cs="EUAlbertina"/>
          <w:i/>
          <w:color w:val="19161A"/>
          <w:sz w:val="18"/>
          <w:szCs w:val="18"/>
        </w:rPr>
        <w:t>Когато качеството на наетия персонал е от значение за нивото на изпълнение на поръчката, възлагащите органи следва също така да могат да използват като критерий за възлагане организацията, квалификацията и опита на персонала, на когото е възложено изпълнението на въпросната поръчка, тъй като това може да се отрази на качеството на изпълнението ѝ и — в резултат на това — на икономическата стойност на офертата. Такъв може да е случаят например при поръчки за интелектуални услуги като консултантски или архитектурни услуги.“</w:t>
      </w:r>
    </w:p>
  </w:footnote>
  <w:footnote w:id="2">
    <w:p w:rsidR="006D1164" w:rsidRPr="00670694" w:rsidRDefault="006D1164" w:rsidP="006D1164">
      <w:pPr>
        <w:pStyle w:val="a3"/>
        <w:jc w:val="both"/>
        <w:rPr>
          <w:rFonts w:ascii="Calibri" w:hAnsi="Calibri"/>
          <w:i/>
          <w:sz w:val="18"/>
          <w:szCs w:val="18"/>
          <w:lang w:val="bg-BG"/>
        </w:rPr>
      </w:pPr>
      <w:r w:rsidRPr="00670694">
        <w:rPr>
          <w:rStyle w:val="a5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В този смисъл е решението на Европейския съд (пети състав) от </w:t>
      </w:r>
      <w:r w:rsidRPr="006D1164">
        <w:rPr>
          <w:rFonts w:ascii="Cambria" w:hAnsi="Cambria"/>
          <w:i/>
          <w:color w:val="333333"/>
          <w:sz w:val="18"/>
          <w:szCs w:val="18"/>
          <w:shd w:val="clear" w:color="auto" w:fill="FFFFFF"/>
          <w:lang w:val="bg-BG"/>
        </w:rPr>
        <w:t>26 март 2015 година</w:t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по Дело C-601/13 </w:t>
      </w:r>
      <w:r w:rsidRPr="006D1164">
        <w:rPr>
          <w:rFonts w:ascii="Cambria" w:hAnsi="Cambria"/>
          <w:i/>
          <w:sz w:val="18"/>
          <w:szCs w:val="18"/>
          <w:lang w:val="bg-BG"/>
        </w:rPr>
        <w:t>(</w:t>
      </w:r>
      <w:hyperlink r:id="rId1" w:history="1">
        <w:r w:rsidRPr="006D1164">
          <w:rPr>
            <w:rStyle w:val="1"/>
            <w:rFonts w:ascii="Cambria" w:hAnsi="Cambria" w:cs="Arial"/>
            <w:i/>
            <w:iCs/>
            <w:color w:val="005A84"/>
            <w:sz w:val="18"/>
            <w:szCs w:val="18"/>
            <w:shd w:val="clear" w:color="auto" w:fill="FFFFFF"/>
            <w:lang w:val="bg-BG"/>
          </w:rPr>
          <w:t>Ambisig v Nersent</w:t>
        </w:r>
      </w:hyperlink>
      <w:r w:rsidRPr="00670694">
        <w:rPr>
          <w:rFonts w:ascii="Arial" w:hAnsi="Arial" w:cs="Arial"/>
          <w:color w:val="212121"/>
          <w:sz w:val="21"/>
          <w:szCs w:val="21"/>
          <w:shd w:val="clear" w:color="auto" w:fill="FFFFFF"/>
          <w:lang w:val="bg-BG"/>
        </w:rPr>
        <w:t>):</w:t>
      </w:r>
    </w:p>
    <w:p w:rsidR="006D1164" w:rsidRPr="006D1164" w:rsidRDefault="006D1164" w:rsidP="006D1164">
      <w:pPr>
        <w:pStyle w:val="c01pointnumerotealtn"/>
        <w:shd w:val="clear" w:color="auto" w:fill="FFFFFF"/>
        <w:spacing w:before="0" w:beforeAutospacing="0" w:after="0" w:afterAutospacing="0"/>
        <w:ind w:left="28"/>
        <w:jc w:val="both"/>
        <w:rPr>
          <w:rFonts w:ascii="Cambria" w:hAnsi="Cambria"/>
          <w:i/>
          <w:color w:val="006699"/>
          <w:sz w:val="18"/>
          <w:szCs w:val="18"/>
        </w:rPr>
      </w:pPr>
    </w:p>
    <w:p w:rsidR="006D1164" w:rsidRPr="006D1164" w:rsidRDefault="006D1164" w:rsidP="006D1164">
      <w:pPr>
        <w:pStyle w:val="c01pointnumerotealtn"/>
        <w:shd w:val="clear" w:color="auto" w:fill="FFFFFF"/>
        <w:spacing w:before="0" w:beforeAutospacing="0" w:after="0" w:afterAutospacing="0"/>
        <w:ind w:left="28"/>
        <w:jc w:val="both"/>
        <w:rPr>
          <w:rFonts w:ascii="Cambria" w:hAnsi="Cambria"/>
          <w:i/>
          <w:color w:val="333333"/>
          <w:sz w:val="18"/>
          <w:szCs w:val="18"/>
        </w:rPr>
      </w:pPr>
      <w:r w:rsidRPr="006D1164">
        <w:rPr>
          <w:rFonts w:ascii="Cambria" w:hAnsi="Cambria"/>
          <w:i/>
          <w:color w:val="006699"/>
          <w:sz w:val="18"/>
          <w:szCs w:val="18"/>
        </w:rPr>
        <w:t xml:space="preserve">„Пар. 31 </w:t>
      </w:r>
      <w:r w:rsidRPr="006D1164">
        <w:rPr>
          <w:rFonts w:ascii="Cambria" w:hAnsi="Cambria"/>
          <w:i/>
          <w:color w:val="333333"/>
          <w:sz w:val="18"/>
          <w:szCs w:val="18"/>
        </w:rPr>
        <w:t>Качеството на изпълнение на дадена обществена поръчка може да зависи по определящ начин от професионалните умения на персонала, на който е възложено изпълнението ѝ, като тези умения се изразяват в техния опит и квалификацията им.</w:t>
      </w:r>
    </w:p>
    <w:p w:rsidR="006D1164" w:rsidRPr="006D1164" w:rsidRDefault="006D1164" w:rsidP="006D1164">
      <w:pPr>
        <w:pStyle w:val="c01pointnumerotealtn"/>
        <w:shd w:val="clear" w:color="auto" w:fill="FFFFFF"/>
        <w:spacing w:before="0" w:beforeAutospacing="0" w:after="0" w:afterAutospacing="0"/>
        <w:ind w:left="28"/>
        <w:jc w:val="both"/>
        <w:rPr>
          <w:rFonts w:ascii="Cambria" w:hAnsi="Cambria"/>
          <w:i/>
          <w:color w:val="333333"/>
          <w:sz w:val="18"/>
          <w:szCs w:val="18"/>
        </w:rPr>
      </w:pPr>
      <w:r w:rsidRPr="006D1164">
        <w:rPr>
          <w:rFonts w:ascii="Cambria" w:hAnsi="Cambria"/>
          <w:i/>
          <w:color w:val="006699"/>
          <w:sz w:val="18"/>
          <w:szCs w:val="18"/>
        </w:rPr>
        <w:t>Пар. 32</w:t>
      </w:r>
      <w:r w:rsidRPr="006D1164">
        <w:rPr>
          <w:rFonts w:ascii="Cambria" w:hAnsi="Cambria"/>
          <w:i/>
          <w:color w:val="006699"/>
          <w:sz w:val="18"/>
          <w:szCs w:val="18"/>
        </w:rPr>
        <w:tab/>
      </w:r>
      <w:r w:rsidRPr="006D1164">
        <w:rPr>
          <w:rFonts w:ascii="Cambria" w:hAnsi="Cambria"/>
          <w:i/>
          <w:color w:val="333333"/>
          <w:sz w:val="18"/>
          <w:szCs w:val="18"/>
        </w:rPr>
        <w:t>Това важи с още по-голяма сила, когато престацията, предмет на обществената поръчка, е от интелектуален характер и е свързана, както в главното производство, с обучителни и консултантски услуги.</w:t>
      </w:r>
    </w:p>
    <w:p w:rsidR="006D1164" w:rsidRPr="006D1164" w:rsidRDefault="006D1164" w:rsidP="006D1164">
      <w:pPr>
        <w:pStyle w:val="c01pointnumerotealtn"/>
        <w:shd w:val="clear" w:color="auto" w:fill="FFFFFF"/>
        <w:spacing w:before="0" w:beforeAutospacing="0" w:after="0" w:afterAutospacing="0"/>
        <w:ind w:left="28"/>
        <w:jc w:val="both"/>
        <w:rPr>
          <w:rFonts w:ascii="Cambria" w:hAnsi="Cambria"/>
          <w:i/>
          <w:color w:val="333333"/>
          <w:sz w:val="18"/>
          <w:szCs w:val="18"/>
        </w:rPr>
      </w:pPr>
      <w:r w:rsidRPr="006D1164">
        <w:rPr>
          <w:rFonts w:ascii="Cambria" w:hAnsi="Cambria"/>
          <w:i/>
          <w:color w:val="006699"/>
          <w:sz w:val="18"/>
          <w:szCs w:val="18"/>
        </w:rPr>
        <w:t>Пар. 33</w:t>
      </w:r>
      <w:r w:rsidRPr="006D1164">
        <w:rPr>
          <w:rFonts w:ascii="Cambria" w:hAnsi="Cambria"/>
          <w:i/>
          <w:color w:val="006699"/>
          <w:sz w:val="18"/>
          <w:szCs w:val="18"/>
        </w:rPr>
        <w:tab/>
      </w:r>
      <w:r w:rsidRPr="006D1164">
        <w:rPr>
          <w:rFonts w:ascii="Cambria" w:hAnsi="Cambria"/>
          <w:i/>
          <w:color w:val="333333"/>
          <w:sz w:val="18"/>
          <w:szCs w:val="18"/>
        </w:rPr>
        <w:t>Когато обществената поръчка се изпълнява от екип, определящи за оценката на професионалните умения на този екип са именно квалификацията и опитът на членовете му…..</w:t>
      </w:r>
    </w:p>
    <w:p w:rsidR="006D1164" w:rsidRPr="006D1164" w:rsidRDefault="006D1164" w:rsidP="006D1164">
      <w:pPr>
        <w:pStyle w:val="c01pointnumerotealtn"/>
        <w:shd w:val="clear" w:color="auto" w:fill="FFFFFF"/>
        <w:spacing w:before="0" w:beforeAutospacing="0" w:after="0" w:afterAutospacing="0"/>
        <w:ind w:left="28"/>
        <w:jc w:val="both"/>
        <w:rPr>
          <w:rFonts w:ascii="Cambria" w:hAnsi="Cambria"/>
          <w:i/>
          <w:color w:val="333333"/>
          <w:sz w:val="18"/>
          <w:szCs w:val="18"/>
        </w:rPr>
      </w:pPr>
      <w:r w:rsidRPr="006D1164">
        <w:rPr>
          <w:rFonts w:ascii="Cambria" w:hAnsi="Cambria"/>
          <w:i/>
          <w:color w:val="006699"/>
          <w:sz w:val="18"/>
          <w:szCs w:val="18"/>
        </w:rPr>
        <w:t>Пар. 34</w:t>
      </w:r>
      <w:r w:rsidRPr="006D1164">
        <w:rPr>
          <w:rFonts w:ascii="Cambria" w:hAnsi="Cambria"/>
          <w:i/>
          <w:color w:val="006699"/>
          <w:sz w:val="18"/>
          <w:szCs w:val="18"/>
        </w:rPr>
        <w:tab/>
      </w:r>
      <w:r w:rsidRPr="006D1164">
        <w:rPr>
          <w:rFonts w:ascii="Cambria" w:hAnsi="Cambria"/>
          <w:i/>
          <w:color w:val="333333"/>
          <w:sz w:val="18"/>
          <w:szCs w:val="18"/>
        </w:rPr>
        <w:t>Следователно посоченото качество може да бъде включено като критерий за възлагане в обявлението за възлагане на обществена поръчка или в съответната техническа спецификация.”</w:t>
      </w:r>
    </w:p>
    <w:p w:rsidR="006D1164" w:rsidRPr="00670694" w:rsidRDefault="006D1164" w:rsidP="006D1164">
      <w:pPr>
        <w:pStyle w:val="a3"/>
        <w:jc w:val="both"/>
        <w:rPr>
          <w:rFonts w:ascii="Calibri" w:hAnsi="Calibri"/>
          <w:i/>
          <w:sz w:val="18"/>
          <w:szCs w:val="18"/>
          <w:lang w:val="bg-BG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164"/>
    <w:rsid w:val="003A60B5"/>
    <w:rsid w:val="006465F9"/>
    <w:rsid w:val="006D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3DF7C6-D14C-457F-90FC-075586B5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Хипервръзка1"/>
    <w:basedOn w:val="a0"/>
    <w:uiPriority w:val="99"/>
    <w:unhideWhenUsed/>
    <w:rsid w:val="006D1164"/>
    <w:rPr>
      <w:color w:val="0000FF"/>
      <w:u w:val="single"/>
    </w:rPr>
  </w:style>
  <w:style w:type="paragraph" w:styleId="a3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4"/>
    <w:uiPriority w:val="99"/>
    <w:rsid w:val="006D1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character" w:customStyle="1" w:styleId="a4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3"/>
    <w:uiPriority w:val="99"/>
    <w:rsid w:val="006D1164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character" w:styleId="a5">
    <w:name w:val="footnote reference"/>
    <w:aliases w:val="Footnote symbol,Appel note de bas de p,SUPERS,Nota,(NECG) Footnote Reference,Voetnootverwijzing,Footnote Reference Superscript,BVI fnr,Lábjegyzet-hivatkozás,L?bjegyzet-hivatkoz?s,Char1 Char Char Char Char,ftref"/>
    <w:rsid w:val="006D1164"/>
    <w:rPr>
      <w:rFonts w:cs="Times New Roman"/>
      <w:vertAlign w:val="superscript"/>
    </w:rPr>
  </w:style>
  <w:style w:type="paragraph" w:customStyle="1" w:styleId="c01pointnumerotealtn">
    <w:name w:val="c01pointnumerotealtn"/>
    <w:basedOn w:val="a"/>
    <w:rsid w:val="006D1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M1">
    <w:name w:val="CM1"/>
    <w:basedOn w:val="a"/>
    <w:next w:val="a"/>
    <w:uiPriority w:val="99"/>
    <w:rsid w:val="006D1164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/>
      <w:sz w:val="24"/>
      <w:szCs w:val="24"/>
      <w:lang w:val="bg-BG" w:eastAsia="bg-BG"/>
    </w:rPr>
  </w:style>
  <w:style w:type="character" w:styleId="a6">
    <w:name w:val="Hyperlink"/>
    <w:basedOn w:val="a0"/>
    <w:uiPriority w:val="99"/>
    <w:semiHidden/>
    <w:unhideWhenUsed/>
    <w:rsid w:val="006D11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curia.europa.eu/juris/documents.jsf?num=C-601/13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3363</Words>
  <Characters>19172</Characters>
  <Application>Microsoft Office Word</Application>
  <DocSecurity>0</DocSecurity>
  <Lines>159</Lines>
  <Paragraphs>44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2019-09-12T12:34:00Z</dcterms:created>
  <dcterms:modified xsi:type="dcterms:W3CDTF">2019-09-12T12:34:00Z</dcterms:modified>
</cp:coreProperties>
</file>